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E0223" w14:textId="1E792FE5" w:rsidR="00C24E21" w:rsidRPr="00C24E21" w:rsidRDefault="00C24E21" w:rsidP="00C24E21">
      <w:pPr>
        <w:shd w:val="clear" w:color="auto" w:fill="FFFFFF"/>
        <w:outlineLvl w:val="0"/>
        <w:rPr>
          <w:rFonts w:eastAsia="Times New Roman" w:cstheme="minorHAnsi"/>
          <w:color w:val="CC3300"/>
          <w:kern w:val="36"/>
          <w:sz w:val="40"/>
          <w:szCs w:val="40"/>
          <w:lang w:eastAsia="fr-FR"/>
        </w:rPr>
      </w:pPr>
      <w:r w:rsidRPr="00C24E21">
        <w:rPr>
          <w:rFonts w:eastAsia="Times New Roman" w:cstheme="minorHAnsi"/>
          <w:color w:val="CC3300"/>
          <w:kern w:val="36"/>
          <w:sz w:val="40"/>
          <w:szCs w:val="40"/>
          <w:lang w:eastAsia="fr-FR"/>
        </w:rPr>
        <w:t>Nickel</w:t>
      </w:r>
      <w:r w:rsidRPr="00C24E21">
        <w:rPr>
          <w:rFonts w:eastAsia="Times New Roman" w:cstheme="minorHAnsi"/>
          <w:color w:val="CC3300"/>
          <w:kern w:val="36"/>
          <w:sz w:val="40"/>
          <w:szCs w:val="40"/>
          <w:lang w:eastAsia="fr-FR"/>
        </w:rPr>
        <w:t>,</w:t>
      </w:r>
      <w:r w:rsidRPr="00C24E21">
        <w:rPr>
          <w:rFonts w:eastAsia="Times New Roman" w:cstheme="minorHAnsi"/>
          <w:color w:val="CC3300"/>
          <w:kern w:val="36"/>
          <w:sz w:val="40"/>
          <w:szCs w:val="40"/>
          <w:lang w:eastAsia="fr-FR"/>
        </w:rPr>
        <w:t xml:space="preserve"> le secteur des batteries va faire flamber la demande</w:t>
      </w:r>
    </w:p>
    <w:p w14:paraId="6FCD9D33" w14:textId="77777777" w:rsidR="00C24E21" w:rsidRPr="00C24E21" w:rsidRDefault="00C24E21" w:rsidP="00C24E21">
      <w:pPr>
        <w:shd w:val="clear" w:color="auto" w:fill="FFFFFF"/>
        <w:spacing w:before="75" w:after="75"/>
        <w:jc w:val="both"/>
        <w:rPr>
          <w:rFonts w:eastAsia="Times New Roman" w:cstheme="minorHAnsi"/>
          <w:i/>
          <w:iCs/>
          <w:color w:val="000000"/>
          <w:lang w:eastAsia="fr-FR"/>
        </w:rPr>
      </w:pPr>
    </w:p>
    <w:p w14:paraId="40BBD001" w14:textId="2A2F333E" w:rsidR="00C24E21" w:rsidRPr="00C24E21" w:rsidRDefault="00C24E21" w:rsidP="00C24E21">
      <w:pPr>
        <w:shd w:val="clear" w:color="auto" w:fill="FFFFFF"/>
        <w:spacing w:before="75" w:after="75"/>
        <w:jc w:val="both"/>
        <w:rPr>
          <w:rFonts w:eastAsia="Times New Roman" w:cstheme="minorHAnsi"/>
          <w:color w:val="000000"/>
          <w:lang w:eastAsia="fr-FR"/>
        </w:rPr>
      </w:pPr>
      <w:r w:rsidRPr="00C24E21">
        <w:rPr>
          <w:rFonts w:eastAsia="Times New Roman" w:cstheme="minorHAnsi"/>
          <w:b/>
          <w:bCs/>
          <w:color w:val="000000"/>
          <w:lang w:eastAsia="fr-FR"/>
        </w:rPr>
        <w:t xml:space="preserve">Le marché mondial du nickel va devoir croître de 60 % d’ici la fin de la décennie pour répondre à la demande grandissante liée à l’électrification, a indiqué Jessica Fung, responsable de la stratégie chez Pala </w:t>
      </w:r>
      <w:proofErr w:type="spellStart"/>
      <w:r w:rsidRPr="00C24E21">
        <w:rPr>
          <w:rFonts w:eastAsia="Times New Roman" w:cstheme="minorHAnsi"/>
          <w:b/>
          <w:bCs/>
          <w:color w:val="000000"/>
          <w:lang w:eastAsia="fr-FR"/>
        </w:rPr>
        <w:t>Investments</w:t>
      </w:r>
      <w:proofErr w:type="spellEnd"/>
      <w:r w:rsidRPr="00C24E21">
        <w:rPr>
          <w:rFonts w:eastAsia="Times New Roman" w:cstheme="minorHAnsi"/>
          <w:b/>
          <w:bCs/>
          <w:color w:val="000000"/>
          <w:lang w:eastAsia="fr-FR"/>
        </w:rPr>
        <w:t xml:space="preserve">, lors de la LME </w:t>
      </w:r>
      <w:proofErr w:type="spellStart"/>
      <w:r w:rsidRPr="00C24E21">
        <w:rPr>
          <w:rFonts w:eastAsia="Times New Roman" w:cstheme="minorHAnsi"/>
          <w:b/>
          <w:bCs/>
          <w:color w:val="000000"/>
          <w:lang w:eastAsia="fr-FR"/>
        </w:rPr>
        <w:t>Week</w:t>
      </w:r>
      <w:proofErr w:type="spellEnd"/>
      <w:r w:rsidRPr="00C24E21">
        <w:rPr>
          <w:rFonts w:eastAsia="Times New Roman" w:cstheme="minorHAnsi"/>
          <w:b/>
          <w:bCs/>
          <w:color w:val="000000"/>
          <w:lang w:eastAsia="fr-FR"/>
        </w:rPr>
        <w:t xml:space="preserve"> qui s’est tenue la semaine du 11 octobre.</w:t>
      </w:r>
    </w:p>
    <w:p w14:paraId="00279633" w14:textId="77777777" w:rsidR="00C24E21" w:rsidRPr="00C24E21" w:rsidRDefault="00C24E21" w:rsidP="00C24E21">
      <w:pPr>
        <w:shd w:val="clear" w:color="auto" w:fill="FFFFFF"/>
        <w:spacing w:before="75" w:after="75"/>
        <w:jc w:val="both"/>
        <w:rPr>
          <w:rFonts w:eastAsia="Times New Roman" w:cstheme="minorHAnsi"/>
          <w:color w:val="000000"/>
          <w:lang w:eastAsia="fr-FR"/>
        </w:rPr>
      </w:pPr>
      <w:r w:rsidRPr="00C24E21">
        <w:rPr>
          <w:rFonts w:eastAsia="Times New Roman" w:cstheme="minorHAnsi"/>
          <w:color w:val="000000"/>
          <w:lang w:eastAsia="fr-FR"/>
        </w:rPr>
        <w:t> </w:t>
      </w:r>
    </w:p>
    <w:p w14:paraId="09B9E238" w14:textId="77777777" w:rsidR="00C24E21" w:rsidRPr="00C24E21" w:rsidRDefault="00C24E21" w:rsidP="00C24E21">
      <w:pPr>
        <w:shd w:val="clear" w:color="auto" w:fill="FFFFFF"/>
        <w:spacing w:before="75" w:after="75"/>
        <w:jc w:val="both"/>
        <w:rPr>
          <w:rFonts w:eastAsia="Times New Roman" w:cstheme="minorHAnsi"/>
          <w:color w:val="000000"/>
          <w:lang w:eastAsia="fr-FR"/>
        </w:rPr>
      </w:pPr>
      <w:r w:rsidRPr="00C24E21">
        <w:rPr>
          <w:rFonts w:eastAsia="Times New Roman" w:cstheme="minorHAnsi"/>
          <w:color w:val="000000"/>
          <w:lang w:eastAsia="fr-FR"/>
        </w:rPr>
        <w:t>Dans le cadre de la transition de l’économie mondiale pour atteindre ses objectifs de durabilité, la demande en nickel émanant du secteur des batteries continue de progresser, explique l’analyste. « </w:t>
      </w:r>
      <w:r w:rsidRPr="00C24E21">
        <w:rPr>
          <w:rFonts w:eastAsia="Times New Roman" w:cstheme="minorHAnsi"/>
          <w:i/>
          <w:iCs/>
          <w:color w:val="000000"/>
          <w:lang w:eastAsia="fr-FR"/>
        </w:rPr>
        <w:t>En 2020, les batteries représentaient 5 % de la demande en nickel. En 2030, ce chiffre pourrait être porté à 30 %</w:t>
      </w:r>
      <w:r w:rsidRPr="00C24E21">
        <w:rPr>
          <w:rFonts w:eastAsia="Times New Roman" w:cstheme="minorHAnsi"/>
          <w:color w:val="000000"/>
          <w:lang w:eastAsia="fr-FR"/>
        </w:rPr>
        <w:t> », précise-t-elle. « </w:t>
      </w:r>
      <w:r w:rsidRPr="00C24E21">
        <w:rPr>
          <w:rFonts w:eastAsia="Times New Roman" w:cstheme="minorHAnsi"/>
          <w:i/>
          <w:iCs/>
          <w:color w:val="000000"/>
          <w:lang w:eastAsia="fr-FR"/>
        </w:rPr>
        <w:t>L’avenir du nickel dépend fortement de la demande et de ce côté, les perspectives sont plutôt positives</w:t>
      </w:r>
      <w:r w:rsidRPr="00C24E21">
        <w:rPr>
          <w:rFonts w:eastAsia="Times New Roman" w:cstheme="minorHAnsi"/>
          <w:color w:val="000000"/>
          <w:lang w:eastAsia="fr-FR"/>
        </w:rPr>
        <w:t> ». Mme Fung estime que la tendance haussière, à la fois de la demande et des cours, s’inscrit dans le super-cycle des matières premières. D’après elle, les cours du nickel sont structurellement voués à grimper. Aux officiels du 18 octobre, les cours pour livraison à 3 mois s’élevaient à 20.150-20.175 $/tonne, contre 17.403-17-403 $ le 4 janvier 2021.</w:t>
      </w:r>
    </w:p>
    <w:p w14:paraId="3B2840F5" w14:textId="77777777" w:rsidR="00C24E21" w:rsidRPr="00C24E21" w:rsidRDefault="00C24E21" w:rsidP="00C24E21">
      <w:pPr>
        <w:shd w:val="clear" w:color="auto" w:fill="FFFFFF"/>
        <w:spacing w:before="75" w:after="75"/>
        <w:jc w:val="both"/>
        <w:rPr>
          <w:rFonts w:eastAsia="Times New Roman" w:cstheme="minorHAnsi"/>
          <w:color w:val="000000"/>
          <w:lang w:eastAsia="fr-FR"/>
        </w:rPr>
      </w:pPr>
      <w:r w:rsidRPr="00C24E21">
        <w:rPr>
          <w:rFonts w:eastAsia="Times New Roman" w:cstheme="minorHAnsi"/>
          <w:color w:val="000000"/>
          <w:lang w:eastAsia="fr-FR"/>
        </w:rPr>
        <w:t>« </w:t>
      </w:r>
      <w:r w:rsidRPr="00C24E21">
        <w:rPr>
          <w:rFonts w:eastAsia="Times New Roman" w:cstheme="minorHAnsi"/>
          <w:i/>
          <w:iCs/>
          <w:color w:val="000000"/>
          <w:lang w:eastAsia="fr-FR"/>
        </w:rPr>
        <w:t>Le développement des véhicules électriques se traduira inévitablement par une croissance de la demande en métaux de base, plus particulièrement le nickel, au cours de la décennie à venir</w:t>
      </w:r>
      <w:r w:rsidRPr="00C24E21">
        <w:rPr>
          <w:rFonts w:eastAsia="Times New Roman" w:cstheme="minorHAnsi"/>
          <w:color w:val="000000"/>
          <w:lang w:eastAsia="fr-FR"/>
        </w:rPr>
        <w:t> », conclut l’analyste. </w:t>
      </w:r>
    </w:p>
    <w:p w14:paraId="1250CB38" w14:textId="77777777" w:rsidR="00C24E21" w:rsidRPr="00C24E21" w:rsidRDefault="00C24E21" w:rsidP="00C24E21">
      <w:pPr>
        <w:shd w:val="clear" w:color="auto" w:fill="FFFFFF"/>
        <w:spacing w:before="75" w:after="75"/>
        <w:jc w:val="both"/>
        <w:rPr>
          <w:rFonts w:eastAsia="Times New Roman" w:cstheme="minorHAnsi"/>
          <w:color w:val="000000"/>
          <w:lang w:eastAsia="fr-FR"/>
        </w:rPr>
      </w:pPr>
      <w:r w:rsidRPr="00C24E21">
        <w:rPr>
          <w:rFonts w:eastAsia="Times New Roman" w:cstheme="minorHAnsi"/>
          <w:color w:val="000000"/>
          <w:lang w:eastAsia="fr-FR"/>
        </w:rPr>
        <w:t>Les disponibilités en matières premières destinées à produire du sulfate de nickel, pour le secteur des batteries lithium-ion, devraient s’améliorer en 2022, après une année 2021 marquée par de fortes tensions. La production de matte de nickel devrait progresser de 43 %, grâce au retour à la production des installations intégrées, suite aux perturbations de 2021, ainsi qu’à l’arrivée de nouvelles capacités de production en Indonésie.</w:t>
      </w:r>
    </w:p>
    <w:p w14:paraId="4090CDD4" w14:textId="77777777" w:rsidR="00C24E21" w:rsidRPr="00C24E21" w:rsidRDefault="00C24E21" w:rsidP="00C24E21">
      <w:pPr>
        <w:shd w:val="clear" w:color="auto" w:fill="FFFFFF"/>
        <w:spacing w:before="75" w:after="75"/>
        <w:jc w:val="both"/>
        <w:rPr>
          <w:rFonts w:eastAsia="Times New Roman" w:cstheme="minorHAnsi"/>
          <w:color w:val="000000"/>
          <w:lang w:eastAsia="fr-FR"/>
        </w:rPr>
      </w:pPr>
      <w:r w:rsidRPr="00C24E21">
        <w:rPr>
          <w:rFonts w:eastAsia="Times New Roman" w:cstheme="minorHAnsi"/>
          <w:color w:val="000000"/>
          <w:lang w:eastAsia="fr-FR"/>
        </w:rPr>
        <w:t> </w:t>
      </w:r>
    </w:p>
    <w:p w14:paraId="0D1DC192" w14:textId="77777777" w:rsidR="003D3180" w:rsidRPr="00C24E21" w:rsidRDefault="003D3180">
      <w:pPr>
        <w:rPr>
          <w:rFonts w:cstheme="minorHAnsi"/>
        </w:rPr>
      </w:pPr>
    </w:p>
    <w:sectPr w:rsidR="003D3180" w:rsidRPr="00C24E21" w:rsidSect="000F15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E21"/>
    <w:rsid w:val="000F156F"/>
    <w:rsid w:val="003D3180"/>
    <w:rsid w:val="00C2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31133A"/>
  <w15:chartTrackingRefBased/>
  <w15:docId w15:val="{F58D12C7-C086-284F-950D-DC26686E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C24E2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24E2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customStyle="1" w:styleId="infoarticle">
    <w:name w:val="info_article"/>
    <w:basedOn w:val="Normal"/>
    <w:rsid w:val="00C24E2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C24E2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24E2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C24E21"/>
    <w:rPr>
      <w:b/>
      <w:bCs/>
    </w:rPr>
  </w:style>
  <w:style w:type="character" w:styleId="Accentuation">
    <w:name w:val="Emphasis"/>
    <w:basedOn w:val="Policepardfaut"/>
    <w:uiPriority w:val="20"/>
    <w:qFormat/>
    <w:rsid w:val="00C24E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2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2021-10-20T06:02:00Z</dcterms:created>
  <dcterms:modified xsi:type="dcterms:W3CDTF">2021-10-20T06:03:00Z</dcterms:modified>
</cp:coreProperties>
</file>